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BF" w:rsidRDefault="00DB5BBF">
      <w:pPr>
        <w:pStyle w:val="normal"/>
        <w:jc w:val="right"/>
        <w:rPr>
          <w:b/>
          <w:sz w:val="24"/>
          <w:szCs w:val="24"/>
        </w:rPr>
      </w:pPr>
    </w:p>
    <w:p w:rsidR="00DB5BBF" w:rsidRDefault="00DB5BBF">
      <w:pPr>
        <w:pStyle w:val="normal"/>
        <w:jc w:val="right"/>
        <w:rPr>
          <w:b/>
          <w:sz w:val="24"/>
          <w:szCs w:val="24"/>
        </w:rPr>
      </w:pPr>
    </w:p>
    <w:p w:rsidR="00DB5BBF" w:rsidRDefault="00DB5BBF">
      <w:pPr>
        <w:pStyle w:val="normal"/>
        <w:jc w:val="right"/>
        <w:rPr>
          <w:b/>
          <w:sz w:val="24"/>
          <w:szCs w:val="24"/>
        </w:rPr>
      </w:pPr>
    </w:p>
    <w:p w:rsidR="00DB5BBF" w:rsidRDefault="0074522C"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Мюмюн </w:t>
      </w:r>
      <w:proofErr w:type="spellStart"/>
      <w:r>
        <w:rPr>
          <w:b/>
          <w:sz w:val="24"/>
          <w:szCs w:val="24"/>
        </w:rPr>
        <w:t>Искендер</w:t>
      </w:r>
      <w:proofErr w:type="spellEnd"/>
    </w:p>
    <w:p w:rsidR="00DB5BBF" w:rsidRDefault="0074522C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Кмет на община</w:t>
      </w:r>
    </w:p>
    <w:p w:rsidR="00DB5BBF" w:rsidRDefault="0074522C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Минерални бани</w:t>
      </w: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</w:pPr>
    </w:p>
    <w:p w:rsidR="00DB5BBF" w:rsidRDefault="0074522C">
      <w:pPr>
        <w:pStyle w:val="normal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ПРИДРУЖИТЕЛНО ПИСМО</w:t>
      </w:r>
    </w:p>
    <w:p w:rsidR="00DB5BBF" w:rsidRDefault="0074522C">
      <w:pPr>
        <w:pStyle w:val="normal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ОТ НЧ “БОРБА - 1927” с.СЪРНИЦА</w:t>
      </w:r>
    </w:p>
    <w:p w:rsidR="00DB5BBF" w:rsidRDefault="0074522C">
      <w:pPr>
        <w:pStyle w:val="normal"/>
        <w:jc w:val="center"/>
      </w:pPr>
      <w:r>
        <w:t xml:space="preserve"> </w:t>
      </w: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74522C"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  <w:t>ОТНОСНО: Дейността през 2022 г.</w:t>
      </w:r>
    </w:p>
    <w:p w:rsidR="00DB5BBF" w:rsidRDefault="0074522C">
      <w:pPr>
        <w:pStyle w:val="normal"/>
        <w:jc w:val="center"/>
      </w:pPr>
      <w:r>
        <w:t xml:space="preserve"> </w:t>
      </w: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74522C">
      <w:pPr>
        <w:pStyle w:val="normal"/>
        <w:rPr>
          <w:sz w:val="30"/>
          <w:szCs w:val="30"/>
        </w:rPr>
      </w:pPr>
      <w:r>
        <w:rPr>
          <w:sz w:val="30"/>
          <w:szCs w:val="30"/>
        </w:rPr>
        <w:t>Уважаеми Господин Кмете,</w:t>
      </w:r>
    </w:p>
    <w:p w:rsidR="00DB5BBF" w:rsidRDefault="0074522C">
      <w:pPr>
        <w:pStyle w:val="normal"/>
        <w:rPr>
          <w:sz w:val="30"/>
          <w:szCs w:val="30"/>
        </w:rPr>
      </w:pPr>
      <w:r>
        <w:rPr>
          <w:sz w:val="30"/>
          <w:szCs w:val="30"/>
        </w:rPr>
        <w:t>Представяме ви План - програма на</w:t>
      </w:r>
    </w:p>
    <w:p w:rsidR="00DB5BBF" w:rsidRDefault="0074522C">
      <w:pPr>
        <w:pStyle w:val="normal"/>
        <w:rPr>
          <w:sz w:val="30"/>
          <w:szCs w:val="30"/>
        </w:rPr>
      </w:pPr>
      <w:r>
        <w:rPr>
          <w:sz w:val="30"/>
          <w:szCs w:val="30"/>
        </w:rPr>
        <w:t>НЧ “Борба - 1927” с.Сърница</w:t>
      </w:r>
    </w:p>
    <w:p w:rsidR="00DB5BBF" w:rsidRDefault="00DB5BBF">
      <w:pPr>
        <w:pStyle w:val="normal"/>
      </w:pP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74522C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22.10.2021 г.                                                               Секретар - библио</w:t>
      </w:r>
      <w:r>
        <w:rPr>
          <w:sz w:val="26"/>
          <w:szCs w:val="26"/>
        </w:rPr>
        <w:t>текар</w:t>
      </w: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с. Сърница                                                                    …………………………</w:t>
      </w: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/С.Рамадан/</w:t>
      </w:r>
      <w:r>
        <w:br w:type="page"/>
      </w:r>
    </w:p>
    <w:p w:rsidR="00DB5BBF" w:rsidRDefault="0074522C">
      <w:pPr>
        <w:pStyle w:val="normal"/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lastRenderedPageBreak/>
        <w:t>ПЛАН - ПРОГРАМА</w:t>
      </w:r>
    </w:p>
    <w:p w:rsidR="00DB5BBF" w:rsidRDefault="0074522C"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дейността на НЧ “Борба - 1927” с.Сърница</w:t>
      </w:r>
    </w:p>
    <w:p w:rsidR="00DB5BBF" w:rsidRDefault="0074522C"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 общ. Минерални бани, </w:t>
      </w:r>
      <w:proofErr w:type="spellStart"/>
      <w:r>
        <w:rPr>
          <w:b/>
          <w:sz w:val="36"/>
          <w:szCs w:val="36"/>
        </w:rPr>
        <w:t>обл</w:t>
      </w:r>
      <w:proofErr w:type="spellEnd"/>
      <w:r>
        <w:rPr>
          <w:b/>
          <w:sz w:val="36"/>
          <w:szCs w:val="36"/>
        </w:rPr>
        <w:t>. Хасково за 2022 г.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СЪДЪРЖАНИЕ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1.Въведение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2.Анализ на състоянието на читалището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3.Основна цел на програмата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4.Основни дейности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4.1.Организационна и стопанска дейност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4.2.Художествено - творческа дейност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4.3.Библиотечна дейност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4.4.Работа по проекти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5.Културен календарен план на мероприятията за 2022 г. - Приложение 1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6.Материално - техническа база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7.Финансиране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8.Индикатори за оценка изпълнението на програмата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9.Срок за изпълнение за отчитане на програмата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  <w:sectPr w:rsidR="00DB5BBF">
          <w:pgSz w:w="11909" w:h="16834"/>
          <w:pgMar w:top="1440" w:right="1440" w:bottom="1440" w:left="1440" w:header="720" w:footer="720" w:gutter="0"/>
          <w:pgNumType w:start="1"/>
          <w:cols w:space="708"/>
        </w:sectPr>
      </w:pPr>
      <w:r>
        <w:rPr>
          <w:sz w:val="26"/>
          <w:szCs w:val="26"/>
        </w:rPr>
        <w:t>10.Заключения</w:t>
      </w: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1.Въведение</w:t>
      </w:r>
    </w:p>
    <w:p w:rsidR="00DB5BBF" w:rsidRDefault="00DB5BBF">
      <w:pPr>
        <w:pStyle w:val="normal"/>
        <w:rPr>
          <w:b/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Плануваната дейност за работата през 2022 г. е съобразена със Закона на народните читалища. Културната и</w:t>
      </w:r>
      <w:r>
        <w:rPr>
          <w:sz w:val="28"/>
          <w:szCs w:val="28"/>
        </w:rPr>
        <w:t>дентичност на читалищата зависи от изготвената План - програма и съобразяване с финансирането.</w:t>
      </w:r>
    </w:p>
    <w:p w:rsidR="00DB5BBF" w:rsidRDefault="00DB5BBF">
      <w:pPr>
        <w:pStyle w:val="normal"/>
        <w:ind w:left="720"/>
        <w:rPr>
          <w:sz w:val="28"/>
          <w:szCs w:val="28"/>
        </w:rPr>
      </w:pPr>
    </w:p>
    <w:p w:rsidR="00DB5BBF" w:rsidRDefault="00DB5BBF">
      <w:pPr>
        <w:pStyle w:val="normal"/>
        <w:ind w:left="720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2.Анализ на състоянието на читалището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с.Сърница функционира само едно читалище, което съвместно с кметството играе голяма роля за живота на селото.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2.1.Ос</w:t>
      </w:r>
      <w:r>
        <w:rPr>
          <w:sz w:val="28"/>
          <w:szCs w:val="28"/>
        </w:rPr>
        <w:t>игурява културно - етническо съжителстване в селото съвместно с кметството.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2.2.Назначената щатна бройка е на 4 часа и </w:t>
      </w:r>
      <w:proofErr w:type="spellStart"/>
      <w:r>
        <w:rPr>
          <w:sz w:val="28"/>
          <w:szCs w:val="28"/>
        </w:rPr>
        <w:t>осъвместена</w:t>
      </w:r>
      <w:proofErr w:type="spellEnd"/>
      <w:r>
        <w:rPr>
          <w:sz w:val="28"/>
          <w:szCs w:val="28"/>
        </w:rPr>
        <w:t xml:space="preserve"> с кметството.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2.3.Библиотеката няма собствена сграда и се намира в помещение, представено от кметството.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2.4.Разполагаме с</w:t>
      </w:r>
      <w:r>
        <w:rPr>
          <w:sz w:val="28"/>
          <w:szCs w:val="28"/>
        </w:rPr>
        <w:t xml:space="preserve"> ксерокс и компютър.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3.Основна цел на програмата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Съвместна работа с кметството помага за дейността на читалището при изпълнение на плануваните мероприятия.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4.Основни дейности</w:t>
      </w:r>
    </w:p>
    <w:p w:rsidR="00DB5BBF" w:rsidRDefault="00DB5BBF">
      <w:pPr>
        <w:pStyle w:val="normal"/>
        <w:ind w:left="720"/>
        <w:rPr>
          <w:sz w:val="26"/>
          <w:szCs w:val="26"/>
        </w:rPr>
      </w:pP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DB5BBF">
      <w:pPr>
        <w:pStyle w:val="normal"/>
        <w:ind w:left="720"/>
        <w:rPr>
          <w:sz w:val="26"/>
          <w:szCs w:val="26"/>
        </w:rPr>
      </w:pPr>
    </w:p>
    <w:p w:rsidR="00DB5BBF" w:rsidRDefault="00DB5BBF">
      <w:pPr>
        <w:pStyle w:val="normal"/>
        <w:ind w:left="720"/>
        <w:rPr>
          <w:sz w:val="26"/>
          <w:szCs w:val="26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lastRenderedPageBreak/>
        <w:t>4.1.Привличане на нови членове и читатели е основната организационна дейност.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4.2.Художествено - творческата дейност да бъде насочена при съществуващата възможност за възможност за въз</w:t>
      </w:r>
      <w:r>
        <w:rPr>
          <w:sz w:val="28"/>
          <w:szCs w:val="28"/>
        </w:rPr>
        <w:t>становяване на самодеен колектив и привличане на млади хора за различни</w:t>
      </w:r>
      <w:r>
        <w:rPr>
          <w:sz w:val="28"/>
          <w:szCs w:val="28"/>
        </w:rPr>
        <w:t xml:space="preserve"> изяви за което ще трябва да се разчита на неговите 53 регистрирани членове и население около 725 жители. Това ще подпомогне съхранението и опазване на местните традиции и обичаи.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Това се изразява в:</w:t>
      </w:r>
    </w:p>
    <w:p w:rsidR="00DB5BBF" w:rsidRDefault="0074522C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мероприятията и културни изложби на о</w:t>
      </w:r>
      <w:r>
        <w:rPr>
          <w:sz w:val="28"/>
          <w:szCs w:val="28"/>
        </w:rPr>
        <w:t>бщината</w:t>
      </w:r>
    </w:p>
    <w:p w:rsidR="00DB5BBF" w:rsidRDefault="0074522C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във фестивали “Фолклор от извора”</w:t>
      </w:r>
    </w:p>
    <w:p w:rsidR="00DB5BBF" w:rsidRDefault="0074522C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Селищни празници, общински мероприятия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4.3.Библиотечна дейност се изразява в обслужване на читатели, изложби с кътове с литература: изготвяне на табла и витрини за бележити дати и личности. Библиотеката р</w:t>
      </w:r>
      <w:r>
        <w:rPr>
          <w:sz w:val="28"/>
          <w:szCs w:val="28"/>
        </w:rPr>
        <w:t>азполага с 2835 тома литература, плюс периодични издания.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5.Материална база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Читалището не разполага със собствена материална база, ползва сграда предоставена от общината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6.Финансиране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Издръжката на читалището е от държавна субсидия.</w:t>
      </w:r>
      <w:r>
        <w:br w:type="page"/>
      </w: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7.Индикатори за оценка изпълнението на програмата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Обогатяване на книжния фонд “участия в общински мероприятия, привличане на нови читатели”.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8.Срок за изпълнение на програмата е посочен в </w:t>
      </w:r>
      <w:proofErr w:type="spellStart"/>
      <w:r>
        <w:rPr>
          <w:b/>
          <w:sz w:val="28"/>
          <w:szCs w:val="28"/>
        </w:rPr>
        <w:t>кулурния</w:t>
      </w:r>
      <w:proofErr w:type="spellEnd"/>
      <w:r>
        <w:rPr>
          <w:b/>
          <w:sz w:val="28"/>
          <w:szCs w:val="28"/>
        </w:rPr>
        <w:t xml:space="preserve"> календар в рамките на 2022 г.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План - програмата за 2022 г. е приета на заседание на Настоятелството, което ни задължава изпълнението на плануваните мероприятия.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22.10.2021г.                                                     Секретар - библиотекар </w:t>
      </w: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с.Сърница                         </w:t>
      </w:r>
      <w:r>
        <w:rPr>
          <w:b/>
          <w:sz w:val="28"/>
          <w:szCs w:val="28"/>
        </w:rPr>
        <w:t xml:space="preserve">                                        /С.Рамадан/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DB5BBF">
      <w:pPr>
        <w:pStyle w:val="normal"/>
        <w:rPr>
          <w:sz w:val="26"/>
          <w:szCs w:val="26"/>
        </w:rPr>
      </w:pPr>
    </w:p>
    <w:p w:rsidR="0074522C" w:rsidRDefault="0074522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B5BBF" w:rsidRPr="0074522C" w:rsidRDefault="0074522C" w:rsidP="0074522C">
      <w:pPr>
        <w:pStyle w:val="normal"/>
        <w:jc w:val="center"/>
        <w:rPr>
          <w:sz w:val="40"/>
          <w:szCs w:val="40"/>
        </w:rPr>
      </w:pPr>
      <w:r w:rsidRPr="0074522C">
        <w:rPr>
          <w:sz w:val="40"/>
          <w:szCs w:val="40"/>
        </w:rPr>
        <w:lastRenderedPageBreak/>
        <w:t>Списък на членовете на настоятелството</w:t>
      </w:r>
    </w:p>
    <w:p w:rsidR="0074522C" w:rsidRDefault="0074522C">
      <w:pPr>
        <w:pStyle w:val="normal"/>
        <w:rPr>
          <w:sz w:val="26"/>
          <w:szCs w:val="26"/>
        </w:rPr>
      </w:pPr>
    </w:p>
    <w:p w:rsidR="0074522C" w:rsidRDefault="0074522C" w:rsidP="0074522C"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Виктория Иванова Димитрова</w:t>
      </w:r>
    </w:p>
    <w:p w:rsidR="0074522C" w:rsidRDefault="0074522C" w:rsidP="0074522C"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Бахар Юксел Мехмед</w:t>
      </w:r>
    </w:p>
    <w:p w:rsidR="0074522C" w:rsidRDefault="0074522C" w:rsidP="0074522C"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Азизе Акиф Мехмед</w:t>
      </w:r>
    </w:p>
    <w:p w:rsidR="0074522C" w:rsidRDefault="0074522C" w:rsidP="0074522C"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Гюлназ Мехмед Мюмюн</w:t>
      </w:r>
    </w:p>
    <w:p w:rsidR="0074522C" w:rsidRDefault="0074522C" w:rsidP="0074522C"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Гюлшен Хашим </w:t>
      </w:r>
      <w:proofErr w:type="spellStart"/>
      <w:r>
        <w:rPr>
          <w:sz w:val="26"/>
          <w:szCs w:val="26"/>
        </w:rPr>
        <w:t>Искендер</w:t>
      </w:r>
      <w:proofErr w:type="spellEnd"/>
    </w:p>
    <w:p w:rsidR="0074522C" w:rsidRDefault="0074522C" w:rsidP="0074522C">
      <w:pPr>
        <w:pStyle w:val="normal"/>
        <w:ind w:left="720"/>
        <w:rPr>
          <w:sz w:val="26"/>
          <w:szCs w:val="26"/>
        </w:rPr>
      </w:pPr>
    </w:p>
    <w:p w:rsidR="00DB5BBF" w:rsidRPr="0074522C" w:rsidRDefault="00DB5BBF">
      <w:pPr>
        <w:pStyle w:val="normal"/>
        <w:rPr>
          <w:sz w:val="24"/>
          <w:szCs w:val="24"/>
        </w:rPr>
      </w:pP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 w:rsidP="0074522C">
      <w:pPr>
        <w:pStyle w:val="normal"/>
        <w:jc w:val="center"/>
        <w:rPr>
          <w:sz w:val="36"/>
          <w:szCs w:val="36"/>
        </w:rPr>
      </w:pPr>
      <w:r w:rsidRPr="0074522C">
        <w:rPr>
          <w:sz w:val="36"/>
          <w:szCs w:val="36"/>
        </w:rPr>
        <w:t>Списък на проверителната комисия</w:t>
      </w:r>
    </w:p>
    <w:p w:rsidR="0074522C" w:rsidRPr="0074522C" w:rsidRDefault="0074522C" w:rsidP="0074522C">
      <w:pPr>
        <w:pStyle w:val="normal"/>
        <w:jc w:val="center"/>
        <w:rPr>
          <w:sz w:val="36"/>
          <w:szCs w:val="36"/>
        </w:rPr>
      </w:pPr>
    </w:p>
    <w:p w:rsidR="0074522C" w:rsidRDefault="0074522C" w:rsidP="0074522C">
      <w:pPr>
        <w:pStyle w:val="normal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Тюркиян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Смаилова</w:t>
      </w:r>
      <w:proofErr w:type="spellEnd"/>
      <w:r>
        <w:rPr>
          <w:sz w:val="26"/>
          <w:szCs w:val="26"/>
        </w:rPr>
        <w:t xml:space="preserve"> Алиева</w:t>
      </w:r>
    </w:p>
    <w:p w:rsidR="0074522C" w:rsidRDefault="0074522C" w:rsidP="0074522C">
      <w:pPr>
        <w:pStyle w:val="normal"/>
        <w:numPr>
          <w:ilvl w:val="0"/>
          <w:numId w:val="3"/>
        </w:numPr>
        <w:rPr>
          <w:sz w:val="26"/>
          <w:szCs w:val="26"/>
        </w:rPr>
      </w:pPr>
      <w:r w:rsidRPr="0074522C">
        <w:rPr>
          <w:sz w:val="26"/>
          <w:szCs w:val="26"/>
        </w:rPr>
        <w:t>Сабрие Ешреф Юсуф</w:t>
      </w:r>
    </w:p>
    <w:p w:rsidR="0074522C" w:rsidRDefault="0074522C" w:rsidP="0074522C">
      <w:pPr>
        <w:pStyle w:val="normal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Самие</w:t>
      </w:r>
      <w:proofErr w:type="spellEnd"/>
      <w:r>
        <w:rPr>
          <w:sz w:val="26"/>
          <w:szCs w:val="26"/>
        </w:rPr>
        <w:t xml:space="preserve"> Сали Наим</w:t>
      </w:r>
    </w:p>
    <w:sectPr w:rsidR="0074522C" w:rsidSect="00DB5BBF">
      <w:pgSz w:w="11909" w:h="16834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D00"/>
    <w:multiLevelType w:val="hybridMultilevel"/>
    <w:tmpl w:val="AED21D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2B74"/>
    <w:multiLevelType w:val="hybridMultilevel"/>
    <w:tmpl w:val="59163D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1F2F"/>
    <w:multiLevelType w:val="multilevel"/>
    <w:tmpl w:val="94923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DB5BBF"/>
    <w:rsid w:val="0074522C"/>
    <w:rsid w:val="008A53E1"/>
    <w:rsid w:val="00B80B98"/>
    <w:rsid w:val="00DB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B5B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B5B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B5B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B5B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B5BB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B5B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B5BBF"/>
  </w:style>
  <w:style w:type="table" w:customStyle="1" w:styleId="TableNormal">
    <w:name w:val="Table Normal"/>
    <w:rsid w:val="00DB5B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B5BB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B5BB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3B18-788E-4A6C-9A12-A1A0E3D8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2022-02-22T11:18:00Z</dcterms:created>
  <dcterms:modified xsi:type="dcterms:W3CDTF">2022-02-22T11:49:00Z</dcterms:modified>
</cp:coreProperties>
</file>